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numPr>
          <w:ilvl w:val="0"/>
          <w:numId w:val="0"/>
        </w:numPr>
        <w:ind w:leftChars="0"/>
        <w:rPr>
          <w:rFonts w:hint="eastAsia"/>
          <w:color w:val="auto"/>
          <w:lang w:val="en-US" w:eastAsia="zh-CN"/>
        </w:rPr>
      </w:pPr>
      <w:r>
        <w:rPr>
          <w:rFonts w:hint="eastAsia"/>
          <w:color w:val="auto"/>
          <w:lang w:val="en-US" w:eastAsia="zh-CN"/>
        </w:rPr>
        <w:t>☆☆☆新增：【批量阅卷】</w:t>
      </w:r>
    </w:p>
    <w:p>
      <w:pPr>
        <w:numPr>
          <w:ilvl w:val="0"/>
          <w:numId w:val="0"/>
        </w:numPr>
        <w:ind w:leftChars="0"/>
        <w:rPr>
          <w:rFonts w:hint="eastAsia"/>
          <w:color w:val="FF0000"/>
          <w:lang w:val="en-US" w:eastAsia="zh-CN"/>
        </w:rPr>
      </w:pPr>
      <w:r>
        <w:rPr>
          <w:rFonts w:hint="default"/>
          <w:color w:val="FF0000"/>
          <w:lang w:val="en-US" w:eastAsia="zh-CN"/>
        </w:rPr>
        <w:t>主观题支持评卷教师自定义</w:t>
      </w:r>
      <w:r>
        <w:rPr>
          <w:rFonts w:hint="eastAsia"/>
          <w:color w:val="FF0000"/>
          <w:lang w:val="en-US" w:eastAsia="zh-CN"/>
        </w:rPr>
        <w:t>改卷份数，</w:t>
      </w:r>
      <w:r>
        <w:rPr>
          <w:rFonts w:hint="default"/>
          <w:color w:val="FF0000"/>
          <w:lang w:val="en-US" w:eastAsia="zh-CN"/>
        </w:rPr>
        <w:t>一次展示多个考生答卷</w:t>
      </w:r>
      <w:r>
        <w:rPr>
          <w:rFonts w:hint="eastAsia"/>
          <w:color w:val="FF0000"/>
          <w:lang w:val="en-US" w:eastAsia="zh-CN"/>
        </w:rPr>
        <w:t>进行</w:t>
      </w:r>
      <w:r>
        <w:rPr>
          <w:rFonts w:hint="default"/>
          <w:color w:val="FF0000"/>
          <w:lang w:val="en-US" w:eastAsia="zh-CN"/>
        </w:rPr>
        <w:t>打分，一次提交所有答卷</w:t>
      </w:r>
      <w:r>
        <w:rPr>
          <w:rFonts w:hint="eastAsia"/>
          <w:color w:val="FF0000"/>
          <w:lang w:val="en-US" w:eastAsia="zh-CN"/>
        </w:rPr>
        <w:t>。</w:t>
      </w:r>
    </w:p>
    <w:p>
      <w:pPr>
        <w:numPr>
          <w:ilvl w:val="0"/>
          <w:numId w:val="0"/>
        </w:numPr>
        <w:ind w:leftChars="0"/>
        <w:rPr>
          <w:rFonts w:hint="default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（当前仅支持PC端）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2107565" cy="2528570"/>
            <wp:effectExtent l="9525" t="9525" r="16510" b="14605"/>
            <wp:docPr id="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107565" cy="252857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注：</w:t>
      </w:r>
      <w:r>
        <w:rPr>
          <w:rFonts w:hint="default"/>
          <w:lang w:val="en-US" w:eastAsia="zh-CN"/>
        </w:rPr>
        <w:t>目前仅支持单小题单个步骤的题组</w:t>
      </w:r>
      <w:r>
        <w:rPr>
          <w:rFonts w:hint="eastAsia"/>
          <w:lang w:val="en-US" w:eastAsia="zh-CN"/>
        </w:rPr>
        <w:t>进行设置</w:t>
      </w:r>
      <w:r>
        <w:rPr>
          <w:rFonts w:hint="default"/>
          <w:lang w:val="en-US" w:eastAsia="zh-CN"/>
        </w:rPr>
        <w:t>，仅支持√×给分</w:t>
      </w:r>
      <w:r>
        <w:rPr>
          <w:rFonts w:hint="eastAsia"/>
          <w:lang w:val="en-US" w:eastAsia="zh-CN"/>
        </w:rPr>
        <w:t>方式</w:t>
      </w:r>
    </w:p>
    <w:p>
      <w:pPr>
        <w:numPr>
          <w:ilvl w:val="0"/>
          <w:numId w:val="1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打√给分：可对正确的答案进行打√，该答卷得分为“√的分数”。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已打分的答卷底色置为蓝色，提交分数时，默认将未打分的答卷全部评为“0分”</w:t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71770" cy="1569085"/>
            <wp:effectExtent l="9525" t="9525" r="14605" b="21590"/>
            <wp:docPr id="26" name="图片 26" descr="lALPBFDk-mMmfDrNAjbNB24_1902_5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lALPBFDk-mMmfDrNAjbNB24_1902_56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569085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打×给分：可对错误的答案进行打×，该答卷得分为“满分减去×的分数”。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已打分的答卷底色置为蓝色，提交分数时，默认将未打分的答卷全部评为“满分”</w:t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3515" cy="1424940"/>
            <wp:effectExtent l="9525" t="9525" r="22860" b="13335"/>
            <wp:docPr id="27" name="图片 27" descr="lALPBGnDcOSVvHLNAgLNB2s_1899_5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lALPBGnDcOSVvHLNAgLNB2s_1899_51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1424940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考务</w:t>
      </w:r>
    </w:p>
    <w:p>
      <w:pPr>
        <w:numPr>
          <w:ilvl w:val="0"/>
          <w:numId w:val="2"/>
        </w:numPr>
        <w:bidi w:val="0"/>
        <w:ind w:left="420" w:leftChars="0" w:hanging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支持mac系统通过钉钉客户端下载桌贴、座位表等文档</w:t>
      </w:r>
    </w:p>
    <w:p>
      <w:pPr>
        <w:numPr>
          <w:ilvl w:val="0"/>
          <w:numId w:val="2"/>
        </w:numPr>
        <w:bidi w:val="0"/>
        <w:ind w:left="420" w:leftChars="0" w:hanging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联考上报阅卷教师，删除已分配阅卷任务的教师时，增加提示</w:t>
      </w:r>
    </w:p>
    <w:p>
      <w:pPr>
        <w:widowControl w:val="0"/>
        <w:numPr>
          <w:ilvl w:val="0"/>
          <w:numId w:val="0"/>
        </w:numPr>
        <w:bidi w:val="0"/>
        <w:jc w:val="both"/>
        <w:rPr>
          <w:rFonts w:hint="default"/>
          <w:lang w:val="en-US" w:eastAsia="zh-CN"/>
        </w:rPr>
      </w:pPr>
      <w:r>
        <w:drawing>
          <wp:inline distT="0" distB="0" distL="114300" distR="114300">
            <wp:extent cx="5274310" cy="1884680"/>
            <wp:effectExtent l="0" t="0" r="2540" b="127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8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答题卡</w:t>
      </w:r>
    </w:p>
    <w:p>
      <w:pPr>
        <w:numPr>
          <w:ilvl w:val="0"/>
          <w:numId w:val="2"/>
        </w:numPr>
        <w:ind w:left="420" w:leftChars="0" w:hanging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从组卷生成答题卡，支持选择是否显示试卷的题目或图片</w:t>
      </w:r>
    </w:p>
    <w:p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5273675" cy="4035425"/>
            <wp:effectExtent l="9525" t="9525" r="12700" b="1270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403542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drawing>
          <wp:inline distT="0" distB="0" distL="114300" distR="114300">
            <wp:extent cx="5269865" cy="2693035"/>
            <wp:effectExtent l="9525" t="9525" r="16510" b="2159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69303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扫描</w:t>
      </w:r>
    </w:p>
    <w:p>
      <w:pPr>
        <w:numPr>
          <w:ilvl w:val="0"/>
          <w:numId w:val="2"/>
        </w:numPr>
        <w:ind w:left="420" w:leftChars="0" w:hanging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支持对单个考试设置扫描员，扫描员具有所负责学校的扫描权限</w:t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注：目前仅支持在swing端设置扫描员</w:t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  <w:r>
        <w:drawing>
          <wp:inline distT="0" distB="0" distL="114300" distR="114300">
            <wp:extent cx="5264785" cy="3768725"/>
            <wp:effectExtent l="9525" t="9525" r="21590" b="12700"/>
            <wp:docPr id="1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76872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监控</w:t>
      </w:r>
    </w:p>
    <w:p>
      <w:pPr>
        <w:numPr>
          <w:ilvl w:val="0"/>
          <w:numId w:val="2"/>
        </w:numPr>
        <w:ind w:left="420" w:leftChars="0" w:hanging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开始阅卷后存在新扫描答题卡（扫描数大于计划量），提示需点击“立即调度”将新扫描的考生调度出去。</w:t>
      </w:r>
    </w:p>
    <w:p>
      <w:pPr>
        <w:widowControl w:val="0"/>
        <w:numPr>
          <w:ilvl w:val="0"/>
          <w:numId w:val="0"/>
        </w:num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017645" cy="2331085"/>
            <wp:effectExtent l="9525" t="9525" r="11430" b="21590"/>
            <wp:docPr id="9" name="图片 9" descr="lALPBFDk-l-sjUPNAfjNBT8_1343_5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lALPBFDk-l-sjUPNAfjNBT8_1343_504"/>
                    <pic:cNvPicPr>
                      <a:picLocks noChangeAspect="1"/>
                    </pic:cNvPicPr>
                  </pic:nvPicPr>
                  <pic:blipFill>
                    <a:blip r:embed="rId11"/>
                    <a:srcRect l="28217" r="19325" b="18909"/>
                    <a:stretch>
                      <a:fillRect/>
                    </a:stretch>
                  </pic:blipFill>
                  <pic:spPr>
                    <a:xfrm>
                      <a:off x="0" y="0"/>
                      <a:ext cx="4017645" cy="2331085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2"/>
        </w:numPr>
        <w:ind w:left="420" w:leftChars="0" w:hanging="420" w:firstLine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双评题组，支持考试管理员/学科负责人在监控界面查看误差率（双评产生误差卷的比例）</w:t>
      </w:r>
    </w:p>
    <w:p>
      <w:pPr>
        <w:widowControl w:val="0"/>
        <w:numPr>
          <w:ilvl w:val="0"/>
          <w:numId w:val="0"/>
        </w:numPr>
        <w:jc w:val="center"/>
      </w:pPr>
      <w:r>
        <w:drawing>
          <wp:inline distT="0" distB="0" distL="114300" distR="114300">
            <wp:extent cx="3592195" cy="1854200"/>
            <wp:effectExtent l="9525" t="9525" r="17780" b="2222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2"/>
                    <a:srcRect t="4544"/>
                    <a:stretch>
                      <a:fillRect/>
                    </a:stretch>
                  </pic:blipFill>
                  <pic:spPr>
                    <a:xfrm>
                      <a:off x="0" y="0"/>
                      <a:ext cx="3592195" cy="185420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2"/>
        </w:numPr>
        <w:ind w:left="420" w:leftChars="0" w:hanging="420" w:firstLineChars="0"/>
        <w:jc w:val="both"/>
      </w:pPr>
      <w:r>
        <w:rPr>
          <w:rFonts w:hint="eastAsia"/>
          <w:lang w:val="en-US" w:eastAsia="zh-CN"/>
        </w:rPr>
        <w:t>支持题组长在阅卷列表查看误差率</w:t>
      </w:r>
    </w:p>
    <w:p>
      <w:pPr>
        <w:widowControl w:val="0"/>
        <w:numPr>
          <w:ilvl w:val="0"/>
          <w:numId w:val="0"/>
        </w:numPr>
        <w:ind w:leftChars="0"/>
        <w:jc w:val="both"/>
      </w:pPr>
      <w:r>
        <w:drawing>
          <wp:inline distT="0" distB="0" distL="114300" distR="114300">
            <wp:extent cx="5267325" cy="3949065"/>
            <wp:effectExtent l="9525" t="9525" r="19050" b="22860"/>
            <wp:docPr id="22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94906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center"/>
      </w:pPr>
    </w:p>
    <w:p>
      <w:pPr>
        <w:widowControl w:val="0"/>
        <w:numPr>
          <w:ilvl w:val="0"/>
          <w:numId w:val="2"/>
        </w:numPr>
        <w:ind w:left="420" w:leftChars="0" w:hanging="420" w:firstLine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支持考试管理员/学科负责人在监控界面查看客观题选择率</w:t>
      </w:r>
    </w:p>
    <w:p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5271135" cy="2952750"/>
            <wp:effectExtent l="9525" t="9525" r="15240" b="9525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95275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2"/>
        </w:numPr>
        <w:ind w:left="420" w:leftChars="0" w:hanging="420" w:firstLine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支持开启/关闭评卷员是否可以查看平均分和标准差</w:t>
      </w:r>
    </w:p>
    <w:p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5161280" cy="4599305"/>
            <wp:effectExtent l="9525" t="9525" r="10795" b="2032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161280" cy="459930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2"/>
        </w:numPr>
        <w:ind w:left="420" w:leftChars="0" w:hanging="420" w:firstLine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工作量界面：支持设置评卷员改卷达到设定工作量时启动无效预警检测，评卷员无效率达到设定值时进行警示。</w:t>
      </w:r>
    </w:p>
    <w:p>
      <w:pPr>
        <w:widowControl w:val="0"/>
        <w:numPr>
          <w:ilvl w:val="0"/>
          <w:numId w:val="0"/>
        </w:numPr>
        <w:jc w:val="both"/>
      </w:pPr>
    </w:p>
    <w:p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5269865" cy="1999615"/>
            <wp:effectExtent l="9525" t="9525" r="16510" b="10160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99961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2"/>
        </w:numPr>
        <w:ind w:left="420" w:leftChars="0" w:hanging="420" w:firstLine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支持对无效率超过设定值的教师进行一键提醒，可推送消息给评卷教师</w:t>
      </w:r>
    </w:p>
    <w:p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5269230" cy="1183005"/>
            <wp:effectExtent l="9525" t="9525" r="17145" b="26670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18300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2"/>
        </w:numPr>
        <w:ind w:left="420" w:leftChars="0" w:hanging="420" w:firstLine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自动批阅的题组，支持多次启动自动批改</w:t>
      </w:r>
    </w:p>
    <w:p>
      <w:pPr>
        <w:pStyle w:val="2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阅卷</w:t>
      </w:r>
    </w:p>
    <w:p>
      <w:pPr>
        <w:numPr>
          <w:ilvl w:val="0"/>
          <w:numId w:val="2"/>
        </w:numPr>
        <w:ind w:left="420" w:leftChars="0" w:hanging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网页键盘给分：对于含“.5”分数，支持使用键盘快捷键QWER等（数字键右下方对应的字母）进行输入。（如Q代表1.5、W代表2.5）</w:t>
      </w:r>
    </w:p>
    <w:p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5269865" cy="1847215"/>
            <wp:effectExtent l="9525" t="9525" r="16510" b="10160"/>
            <wp:docPr id="1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84721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5271770" cy="1684655"/>
            <wp:effectExtent l="9525" t="9525" r="14605" b="20320"/>
            <wp:docPr id="19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68465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2"/>
        </w:numPr>
        <w:ind w:left="420" w:leftChars="0" w:hanging="420" w:firstLineChars="0"/>
        <w:jc w:val="both"/>
      </w:pPr>
      <w:r>
        <w:rPr>
          <w:rFonts w:hint="eastAsia"/>
          <w:lang w:val="en-US" w:eastAsia="zh-CN"/>
        </w:rPr>
        <w:t>支持评卷教师设置是否开启小数点功能，开启后输入“.”按键即定义为“.5”</w:t>
      </w:r>
    </w:p>
    <w:p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2221865" cy="2637790"/>
            <wp:effectExtent l="9525" t="9525" r="16510" b="19685"/>
            <wp:docPr id="20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221865" cy="263779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>
      <w:pPr>
        <w:numPr>
          <w:ilvl w:val="0"/>
          <w:numId w:val="2"/>
        </w:numPr>
        <w:ind w:left="420" w:leftChars="0" w:hanging="420" w:firstLineChars="0"/>
        <w:rPr>
          <w:rFonts w:hint="default"/>
          <w:lang w:val="en-US" w:eastAsia="zh-CN"/>
        </w:rPr>
      </w:pPr>
      <w:r>
        <w:rPr>
          <w:rFonts w:hint="eastAsia"/>
          <w:color w:val="FF0000"/>
          <w:lang w:val="en-US" w:eastAsia="zh-CN"/>
        </w:rPr>
        <w:t>【批量阅卷】</w:t>
      </w:r>
      <w:r>
        <w:rPr>
          <w:rFonts w:hint="default"/>
          <w:color w:val="FF0000"/>
          <w:lang w:val="en-US" w:eastAsia="zh-CN"/>
        </w:rPr>
        <w:t>主观题支持评卷教师自定义</w:t>
      </w:r>
      <w:r>
        <w:rPr>
          <w:rFonts w:hint="eastAsia"/>
          <w:color w:val="FF0000"/>
          <w:lang w:val="en-US" w:eastAsia="zh-CN"/>
        </w:rPr>
        <w:t>改卷份数，</w:t>
      </w:r>
      <w:r>
        <w:rPr>
          <w:rFonts w:hint="default"/>
          <w:color w:val="FF0000"/>
          <w:lang w:val="en-US" w:eastAsia="zh-CN"/>
        </w:rPr>
        <w:t>一次展示多个考生答卷</w:t>
      </w:r>
      <w:r>
        <w:rPr>
          <w:rFonts w:hint="eastAsia"/>
          <w:color w:val="FF0000"/>
          <w:lang w:val="en-US" w:eastAsia="zh-CN"/>
        </w:rPr>
        <w:t>进行</w:t>
      </w:r>
      <w:r>
        <w:rPr>
          <w:rFonts w:hint="default"/>
          <w:color w:val="FF0000"/>
          <w:lang w:val="en-US" w:eastAsia="zh-CN"/>
        </w:rPr>
        <w:t>打分，一次提交所有答卷</w:t>
      </w:r>
      <w:r>
        <w:rPr>
          <w:rFonts w:hint="eastAsia"/>
          <w:color w:val="FF0000"/>
          <w:lang w:val="en-US" w:eastAsia="zh-CN"/>
        </w:rPr>
        <w:t>；未给分的答卷按0分提交。</w:t>
      </w: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color w:val="FF0000"/>
          <w:lang w:val="en-US" w:eastAsia="zh-CN"/>
        </w:rPr>
        <w:t>（当前仅支持PC端）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2506345" cy="3006725"/>
            <wp:effectExtent l="9525" t="9525" r="17780" b="12700"/>
            <wp:docPr id="1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506345" cy="300672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注：</w:t>
      </w:r>
      <w:r>
        <w:rPr>
          <w:rFonts w:hint="default"/>
          <w:lang w:val="en-US" w:eastAsia="zh-CN"/>
        </w:rPr>
        <w:t>目前仅支持单小题单个步骤的题组</w:t>
      </w:r>
      <w:r>
        <w:rPr>
          <w:rFonts w:hint="eastAsia"/>
          <w:lang w:val="en-US" w:eastAsia="zh-CN"/>
        </w:rPr>
        <w:t>进行设置</w:t>
      </w:r>
      <w:r>
        <w:rPr>
          <w:rFonts w:hint="default"/>
          <w:lang w:val="en-US" w:eastAsia="zh-CN"/>
        </w:rPr>
        <w:t>，仅支持√×给分</w:t>
      </w:r>
      <w:r>
        <w:rPr>
          <w:rFonts w:hint="eastAsia"/>
          <w:lang w:val="en-US" w:eastAsia="zh-CN"/>
        </w:rPr>
        <w:t>方式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1、打√给分：可对正确的答案进行打√，该答卷得分为“√的分数”。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已打分的答卷底色置为蓝色，提交分数时，默认将未打分的答卷全部评为“0分”</w:t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71770" cy="1569085"/>
            <wp:effectExtent l="9525" t="9525" r="14605" b="21590"/>
            <wp:docPr id="30" name="图片 30" descr="lALPBFDk-mMmfDrNAjbNB24_1902_5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lALPBFDk-mMmfDrNAjbNB24_1902_56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569085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2、打×给分：可对错误的答案进行打×，该答卷得分为“满分减去×的分数”。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已打分的答卷底色置为蓝色，提交分数时，默认将未打分的答卷全部评为“满分”</w:t>
      </w:r>
    </w:p>
    <w:p>
      <w:pPr>
        <w:numPr>
          <w:ilvl w:val="0"/>
          <w:numId w:val="0"/>
        </w:numPr>
        <w:ind w:leftChars="0"/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3515" cy="1424940"/>
            <wp:effectExtent l="9525" t="9525" r="22860" b="13335"/>
            <wp:docPr id="33" name="图片 33" descr="lALPBGnDcOSVvHLNAgLNB2s_1899_5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lALPBGnDcOSVvHLNAgLNB2s_1899_51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1424940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ind w:leftChars="0"/>
        <w:jc w:val="both"/>
      </w:pPr>
    </w:p>
    <w:p>
      <w:pPr>
        <w:widowControl w:val="0"/>
        <w:numPr>
          <w:ilvl w:val="0"/>
          <w:numId w:val="2"/>
        </w:numPr>
        <w:ind w:left="420" w:leftChars="0" w:hanging="420" w:firstLineChars="0"/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移动端阅卷，增加浮窗可切换全屏/半屏</w:t>
      </w:r>
    </w:p>
    <w:p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5266690" cy="2371090"/>
            <wp:effectExtent l="9525" t="9525" r="19685" b="19685"/>
            <wp:docPr id="1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9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7109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2"/>
        </w:numPr>
        <w:ind w:left="420" w:leftChars="0" w:hanging="420" w:firstLineChars="0"/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支持评卷员添加流水号绑定阅卷任务，输入流水账号和密码点击确定即可。</w:t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注：目前仅支持通过swing端生成流水号，一个流水账号对应一个题组的任务。</w:t>
      </w:r>
    </w:p>
    <w:p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5268595" cy="1419225"/>
            <wp:effectExtent l="9525" t="9525" r="17780" b="19050"/>
            <wp:docPr id="23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41922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  <w:r>
        <w:drawing>
          <wp:inline distT="0" distB="0" distL="114300" distR="114300">
            <wp:extent cx="5267960" cy="1592580"/>
            <wp:effectExtent l="0" t="0" r="8890" b="7620"/>
            <wp:docPr id="24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7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59258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成绩</w:t>
      </w:r>
    </w:p>
    <w:p>
      <w:pPr>
        <w:numPr>
          <w:ilvl w:val="0"/>
          <w:numId w:val="2"/>
        </w:numPr>
        <w:ind w:left="420" w:leftChars="0" w:hanging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科目阅卷未完成时，点击生成成绩将提示“阅卷未完成”</w:t>
      </w:r>
    </w:p>
    <w:p>
      <w:pPr>
        <w:widowControl w:val="0"/>
        <w:numPr>
          <w:ilvl w:val="0"/>
          <w:numId w:val="0"/>
        </w:num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2924810" cy="953135"/>
            <wp:effectExtent l="9525" t="9525" r="18415" b="27940"/>
            <wp:docPr id="29" name="图片 29" descr="lALPBGKoc5mVvjDNAQTNAj0_573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lALPBGKoc5mVvjDNAQTNAj0_573_260"/>
                    <pic:cNvPicPr>
                      <a:picLocks noChangeAspect="1"/>
                    </pic:cNvPicPr>
                  </pic:nvPicPr>
                  <pic:blipFill>
                    <a:blip r:embed="rId24"/>
                    <a:srcRect l="10623" t="25776" r="15404" b="21078"/>
                    <a:stretch>
                      <a:fillRect/>
                    </a:stretch>
                  </pic:blipFill>
                  <pic:spPr>
                    <a:xfrm>
                      <a:off x="0" y="0"/>
                      <a:ext cx="2924810" cy="953135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ind w:left="420" w:leftChars="0" w:hanging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移动端查看成绩，支持显示实际小题名称</w:t>
      </w:r>
    </w:p>
    <w:p>
      <w:pPr>
        <w:widowControl w:val="0"/>
        <w:numPr>
          <w:ilvl w:val="0"/>
          <w:numId w:val="0"/>
        </w:num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2374265" cy="3740785"/>
            <wp:effectExtent l="9525" t="9525" r="16510" b="21590"/>
            <wp:docPr id="28" name="图片 28" descr="lADPBE1Xe70igZ7NBQDNAtA_720_1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lADPBE1Xe70igZ7NBQDNAtA_720_1280"/>
                    <pic:cNvPicPr>
                      <a:picLocks noChangeAspect="1"/>
                    </pic:cNvPicPr>
                  </pic:nvPicPr>
                  <pic:blipFill>
                    <a:blip r:embed="rId25"/>
                    <a:srcRect t="11414"/>
                    <a:stretch>
                      <a:fillRect/>
                    </a:stretch>
                  </pic:blipFill>
                  <pic:spPr>
                    <a:xfrm>
                      <a:off x="0" y="0"/>
                      <a:ext cx="2374265" cy="3740785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ind w:left="420" w:leftChars="0" w:hanging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成绩单下载报表，支持设置是否显示学生信息；非联考考试隐藏区县信息</w:t>
      </w:r>
    </w:p>
    <w:p>
      <w:pPr>
        <w:widowControl w:val="0"/>
        <w:numPr>
          <w:ilvl w:val="0"/>
          <w:numId w:val="0"/>
        </w:numPr>
        <w:jc w:val="center"/>
        <w:rPr>
          <w:rFonts w:hint="eastAsia"/>
          <w:lang w:val="en-US" w:eastAsia="zh-CN"/>
        </w:rPr>
      </w:pPr>
      <w:r>
        <w:drawing>
          <wp:inline distT="0" distB="0" distL="114300" distR="114300">
            <wp:extent cx="4225290" cy="2331085"/>
            <wp:effectExtent l="9525" t="9525" r="13335" b="21590"/>
            <wp:docPr id="31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225290" cy="233108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ind w:left="420" w:leftChars="0" w:hanging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支持自定义统计项参数（高分率、优秀率等），保存后再生成成绩，将按照设置的比例进行计算高分率、优秀率等。</w:t>
      </w:r>
    </w:p>
    <w:p>
      <w:pPr>
        <w:widowControl w:val="0"/>
        <w:numPr>
          <w:ilvl w:val="0"/>
          <w:numId w:val="0"/>
        </w:numPr>
        <w:jc w:val="center"/>
      </w:pPr>
      <w:r>
        <w:drawing>
          <wp:inline distT="0" distB="0" distL="114300" distR="114300">
            <wp:extent cx="5261610" cy="2580640"/>
            <wp:effectExtent l="9525" t="9525" r="24765" b="19685"/>
            <wp:docPr id="25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8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58064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2"/>
        </w:numPr>
        <w:ind w:left="420" w:leftChars="0" w:hanging="420" w:firstLine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支持查看学生“历次考试进退步”、“全样统计”和“教师全样跟踪”和“历次考试追踪”</w:t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drawing>
          <wp:inline distT="0" distB="0" distL="114300" distR="114300">
            <wp:extent cx="5269865" cy="3051175"/>
            <wp:effectExtent l="9525" t="9525" r="16510" b="25400"/>
            <wp:docPr id="1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05117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质量分析</w:t>
      </w:r>
    </w:p>
    <w:p>
      <w:pPr>
        <w:numPr>
          <w:ilvl w:val="0"/>
          <w:numId w:val="2"/>
        </w:numPr>
        <w:ind w:left="420" w:leftChars="0" w:hanging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绿色报告：已生成单科分析且开放了教师查询时，支持任课教师查看单科分析报告。</w:t>
      </w:r>
    </w:p>
    <w:p>
      <w:pPr>
        <w:numPr>
          <w:ilvl w:val="0"/>
          <w:numId w:val="2"/>
        </w:numPr>
        <w:ind w:left="420" w:leftChars="0" w:hanging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成绩单界面进入科目报告，支持在绿色报告内切换科目</w:t>
      </w:r>
    </w:p>
    <w:p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5264785" cy="2116455"/>
            <wp:effectExtent l="9525" t="9525" r="21590" b="26670"/>
            <wp:docPr id="35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2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11645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drawing>
          <wp:inline distT="0" distB="0" distL="114300" distR="114300">
            <wp:extent cx="5271135" cy="2018030"/>
            <wp:effectExtent l="9525" t="9525" r="15240" b="10795"/>
            <wp:docPr id="36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27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01803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ind w:left="420" w:leftChars="0" w:hanging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由题库试卷生成的答题卡，支持自动绑定知识点和试题，无需手动点击“保存数据”</w:t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注：若绑定试题后修改了划块，需调整试题绑定。</w:t>
      </w:r>
    </w:p>
    <w:p>
      <w:pPr>
        <w:widowControl w:val="0"/>
        <w:numPr>
          <w:ilvl w:val="0"/>
          <w:numId w:val="2"/>
        </w:numPr>
        <w:ind w:left="420" w:leftChars="0" w:hanging="420" w:firstLineChars="0"/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移动端支持查看“试题质量”和“追踪分析”</w:t>
      </w:r>
    </w:p>
    <w:p>
      <w:pPr>
        <w:widowControl w:val="0"/>
        <w:numPr>
          <w:ilvl w:val="0"/>
          <w:numId w:val="0"/>
        </w:numPr>
        <w:jc w:val="center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2039620" cy="3625850"/>
            <wp:effectExtent l="9525" t="9525" r="27305" b="22225"/>
            <wp:docPr id="17" name="图片 17" descr="lADPBG1Q74jQxVPNB4DNBDg_1080_19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lADPBG1Q74jQxVPNB4DNBDg_1080_1920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039620" cy="3625850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2039620" cy="3625850"/>
            <wp:effectExtent l="9525" t="9525" r="27305" b="22225"/>
            <wp:docPr id="18" name="图片 18" descr="lADPBF8a9PW195vNB4DNBDg_1080_19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lADPBF8a9PW195vNB4DNBDg_1080_1920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039620" cy="3625850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题库</w:t>
      </w:r>
    </w:p>
    <w:p>
      <w:pPr>
        <w:numPr>
          <w:ilvl w:val="0"/>
          <w:numId w:val="2"/>
        </w:numPr>
        <w:ind w:left="420" w:leftChars="0" w:hanging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编辑试卷时，支持将非选择题的题型移动至第一大题。学校希望与试卷题号实际题目保持一致。</w:t>
      </w:r>
    </w:p>
    <w:p>
      <w:pPr>
        <w:widowControl w:val="0"/>
        <w:numPr>
          <w:ilvl w:val="0"/>
          <w:numId w:val="0"/>
        </w:numPr>
        <w:jc w:val="center"/>
      </w:pPr>
      <w:r>
        <w:drawing>
          <wp:inline distT="0" distB="0" distL="114300" distR="114300">
            <wp:extent cx="4532630" cy="3173095"/>
            <wp:effectExtent l="9525" t="9525" r="10795" b="17780"/>
            <wp:docPr id="32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23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532630" cy="317309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注：由试卷生成的答题卡，客观题排列在答题卡顶部，题型的题号与试卷一致。</w:t>
      </w:r>
    </w:p>
    <w:p>
      <w:pPr>
        <w:widowControl w:val="0"/>
        <w:numPr>
          <w:ilvl w:val="0"/>
          <w:numId w:val="0"/>
        </w:numPr>
        <w:jc w:val="center"/>
        <w:rPr>
          <w:rFonts w:hint="default"/>
          <w:lang w:val="en-US" w:eastAsia="zh-CN"/>
        </w:rPr>
      </w:pPr>
      <w:bookmarkStart w:id="0" w:name="_GoBack"/>
      <w:bookmarkEnd w:id="0"/>
      <w:r>
        <w:drawing>
          <wp:inline distT="0" distB="0" distL="114300" distR="114300">
            <wp:extent cx="3406140" cy="3680460"/>
            <wp:effectExtent l="9525" t="9525" r="13335" b="24765"/>
            <wp:docPr id="34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25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406140" cy="368046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E339ADE"/>
    <w:multiLevelType w:val="singleLevel"/>
    <w:tmpl w:val="DE339ADE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">
    <w:nsid w:val="19869EE7"/>
    <w:multiLevelType w:val="singleLevel"/>
    <w:tmpl w:val="19869EE7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456465F"/>
    <w:rsid w:val="0B7B3678"/>
    <w:rsid w:val="15ED26BC"/>
    <w:rsid w:val="1EB56726"/>
    <w:rsid w:val="384469BB"/>
    <w:rsid w:val="3C9D66F7"/>
    <w:rsid w:val="3F9078CB"/>
    <w:rsid w:val="421B7329"/>
    <w:rsid w:val="4A9D2B15"/>
    <w:rsid w:val="4B156767"/>
    <w:rsid w:val="51D966A0"/>
    <w:rsid w:val="57A61FD1"/>
    <w:rsid w:val="633B486F"/>
    <w:rsid w:val="64E2262D"/>
    <w:rsid w:val="665A7855"/>
    <w:rsid w:val="682A0CB6"/>
    <w:rsid w:val="77C24985"/>
    <w:rsid w:val="7F4830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Ascii" w:hAnsiTheme="minorAscii" w:eastAsiaTheme="minorEastAsia" w:cstheme="minorBidi"/>
      <w:kern w:val="2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50" w:beforeLines="50" w:beforeAutospacing="0" w:after="50" w:afterLines="50" w:afterAutospacing="0" w:line="480" w:lineRule="auto"/>
      <w:outlineLvl w:val="0"/>
    </w:pPr>
    <w:rPr>
      <w:rFonts w:asciiTheme="minorAscii" w:hAnsiTheme="minorAscii"/>
      <w:b/>
      <w:kern w:val="44"/>
      <w:sz w:val="28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7" Type="http://schemas.openxmlformats.org/officeDocument/2006/relationships/fontTable" Target="fontTable.xml"/><Relationship Id="rId36" Type="http://schemas.openxmlformats.org/officeDocument/2006/relationships/numbering" Target="numbering.xml"/><Relationship Id="rId35" Type="http://schemas.openxmlformats.org/officeDocument/2006/relationships/customXml" Target="../customXml/item1.xml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jpe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18</TotalTime>
  <ScaleCrop>false</ScaleCrop>
  <LinksUpToDate>false</LinksUpToDate>
  <CharactersWithSpaces>0</CharactersWithSpaces>
  <Application>WPS Office_11.1.0.10495_F1E327BC-269C-435d-A152-05C5408002CA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2021-04-27T07:27:00Z</dcterms:created>
  <dc:creator>LF</dc:creator>
  <cp:lastModifiedBy>口口 </cp:lastModifiedBy>
  <dcterms:modified xsi:type="dcterms:W3CDTF">2021-05-08T09:00:51Z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2052-11.1.0.10495</vt:lpwstr>
  </property>
  <property fmtid="{D5CDD505-2E9C-101B-9397-08002B2CF9AE}" pid="3" name="ICV">
    <vt:lpwstr>543A52EFD7A04CC5844113DE356F2886</vt:lpwstr>
  </property>
</Properties>
</file>